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106AC8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KAMU YÖNETİMİ</w:t>
            </w:r>
          </w:p>
        </w:tc>
      </w:tr>
      <w:tr w:rsidR="00106AC8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D / D.01</w:t>
            </w:r>
          </w:p>
        </w:tc>
      </w:tr>
      <w:tr w:rsidR="00106AC8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106AC8" w:rsidRPr="00EF5D3A" w:rsidRDefault="00106AC8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36</w:t>
            </w:r>
          </w:p>
        </w:tc>
      </w:tr>
    </w:tbl>
    <w:p w:rsidR="00106AC8" w:rsidRDefault="00106AC8" w:rsidP="00106AC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06AC8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Mali İşler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Fen İşleri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Özel Kalem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Veteriner İşleri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Zabıta</w:t>
            </w:r>
            <w:bookmarkStart w:id="0" w:name="_GoBack"/>
            <w:bookmarkEnd w:id="0"/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Kültür ve Sosyal İşler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Protokol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Halkla İlişkiler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Yazı İşleri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Sosyal Yardım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Sağlık İşleri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Ruhsat ve Denetim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İşletme ve İştirakler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Spor ve Eğitim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İnsan Kaynakları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İmar İşleri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Hukuk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Temizlik İşleri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Park ve Bahçeler</w:t>
            </w:r>
          </w:p>
          <w:p w:rsidR="00106AC8" w:rsidRPr="00064BE0" w:rsidRDefault="00106AC8" w:rsidP="00106AC8">
            <w:pPr>
              <w:widowControl/>
              <w:numPr>
                <w:ilvl w:val="0"/>
                <w:numId w:val="38"/>
              </w:numPr>
              <w:suppressAutoHyphens w:val="0"/>
              <w:autoSpaceDE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64BE0">
              <w:rPr>
                <w:rFonts w:ascii="Tahoma" w:hAnsi="Tahoma" w:cs="Tahoma"/>
                <w:b w:val="0"/>
                <w:sz w:val="18"/>
                <w:szCs w:val="18"/>
              </w:rPr>
              <w:t>Destek Hizmetler</w:t>
            </w:r>
          </w:p>
        </w:tc>
      </w:tr>
    </w:tbl>
    <w:p w:rsidR="00106AC8" w:rsidRDefault="00106AC8" w:rsidP="00106AC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06AC8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Zimmet Formları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Yedekleme Cihazı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ADSL Modem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Firewall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Isı Nem Ölçer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FM200 Yangın Söndürme Sistemi</w:t>
            </w:r>
          </w:p>
        </w:tc>
      </w:tr>
    </w:tbl>
    <w:p w:rsidR="00106AC8" w:rsidRDefault="00106AC8" w:rsidP="00106AC8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06AC8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Projeye ait bilgilere (analiz, sözleşme...) yetkisiz erişim / ifşa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Yazılım kodlarının dışarı çıkarılması/yetkisiz erişim/ifşa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Kodların bütünlüğünün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Sisteme yetkisiz erişim / sızma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Yanlış dokümantasyon hazırlanması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Proje kapsamının iyi belirlenememesi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Lisans süre aşımı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lastRenderedPageBreak/>
              <w:t>Maillerin bütünlüğünün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Kartuşların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Ana Sistemlerdeki kesinti sonrasında Disaster Recoverden Geri Dönüş Alınamaması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(Active Directory, Oracle, VPN, vb.) sisteminin çökmesi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(Active Directory, Oracle, VPN, vb.) sistemine yetkisiz erişim / sızma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(Active Directory, Oracle, VPN, vb.) sistemi erişim şifrelerinin kaybedilmesi / çalınması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(Active Directory, Oracle, VPN, vb.) sistemine erişimin kesilmesi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SLA'siz tedarikçi bulundurulması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LAN hizmetinin kesilmesi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Kiosk hizmetlerinin çalışmaması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Kiosk hizmetlerinin güvenliğinin sağlanmaması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Network güvenlik cihazlarının/yazılımlarının (websense, firewall, McAfee, NAC) yanlış konfigürasyonu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Network güvenlik cihazlarının/yazılımlarının (websense, firewall, McAfee, NAC) güncellemelerinin yapılmaması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Network güvenlik cihazlarının/yazılımlarının (websense, firewall, McAfee, NAC) yedeklemesinin yapılmaması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Kullanıcıların mobil cihazlarının (cep telefonu, laptop) güvenliğinin yönetilememesi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Sistem odasına giriş ve çıkışların takibi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Monitoring yazılımının çökmesi, yazılıma erişilememesi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Monitoring yazılımının yanlış uyarı vermesi / uyarı vermemesi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Yangın, Deprem, Su basması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Sistem odasında çok fazla toz olması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lastRenderedPageBreak/>
              <w:t>Sunucu güncellemelerinin yapılmaması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Sunuculara yetkisiz erişim / sızma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Şifre yönetim programının / ortamın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Telekomünikasyon cihazlarının kontrolsüz kalması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 xml:space="preserve">Müşteri veri tabanına erişimin kesilmesi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Programların Çalışmaması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Veri bütünlüğünün korunması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106AC8" w:rsidRDefault="00106AC8" w:rsidP="00106AC8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06AC8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06AC8" w:rsidRPr="004A24CC" w:rsidRDefault="00106AC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064BE0">
              <w:rPr>
                <w:rFonts w:ascii="Tahoma" w:hAnsi="Tahoma" w:cs="Tahoma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064BE0">
              <w:rPr>
                <w:rFonts w:ascii="Tahoma" w:hAnsi="Tahoma" w:cs="Tahoma"/>
                <w:sz w:val="18"/>
              </w:rPr>
              <w:t xml:space="preserve">5846 Sayılı Fikir ve Sanat Eserleri Kanunu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064BE0">
              <w:rPr>
                <w:rFonts w:ascii="Tahoma" w:hAnsi="Tahoma" w:cs="Tahoma"/>
                <w:sz w:val="18"/>
              </w:rPr>
              <w:t xml:space="preserve">5070 Sayılı Elektronik imza Kanunu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064BE0">
              <w:rPr>
                <w:rFonts w:ascii="Tahoma" w:hAnsi="Tahoma" w:cs="Tahoma"/>
                <w:sz w:val="18"/>
              </w:rPr>
              <w:t xml:space="preserve">6698 Sayılı Kişisel Verilerin Korunması Kanunu 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064BE0">
              <w:rPr>
                <w:rFonts w:ascii="Tahoma" w:hAnsi="Tahoma" w:cs="Tahoma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064BE0">
              <w:rPr>
                <w:rFonts w:ascii="Tahoma" w:hAnsi="Tahoma" w:cs="Tahoma"/>
                <w:sz w:val="18"/>
              </w:rPr>
              <w:t>5070 Sayılı Elektronik İmza Kanunu</w:t>
            </w:r>
          </w:p>
          <w:p w:rsidR="00106AC8" w:rsidRPr="00064BE0" w:rsidRDefault="00106AC8" w:rsidP="00106AC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64BE0">
              <w:rPr>
                <w:rFonts w:ascii="Tahoma" w:hAnsi="Tahoma" w:cs="Tahoma"/>
                <w:sz w:val="18"/>
              </w:rPr>
              <w:t>5809 Sayılı Elektronik Haberleşme Kanunu</w:t>
            </w:r>
          </w:p>
        </w:tc>
      </w:tr>
    </w:tbl>
    <w:p w:rsidR="00106AC8" w:rsidRDefault="00106AC8" w:rsidP="00106AC8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106AC8" w:rsidRDefault="008F4606" w:rsidP="00106AC8"/>
    <w:sectPr w:rsidR="008F4606" w:rsidRPr="00106AC8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67" w:rsidRDefault="00ED1867" w:rsidP="00176C0D">
      <w:r>
        <w:separator/>
      </w:r>
    </w:p>
  </w:endnote>
  <w:endnote w:type="continuationSeparator" w:id="0">
    <w:p w:rsidR="00ED1867" w:rsidRDefault="00ED1867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67" w:rsidRDefault="00ED1867" w:rsidP="00176C0D">
      <w:r>
        <w:separator/>
      </w:r>
    </w:p>
  </w:footnote>
  <w:footnote w:type="continuationSeparator" w:id="0">
    <w:p w:rsidR="00ED1867" w:rsidRDefault="00ED1867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="00106AC8">
            <w:rPr>
              <w:rFonts w:ascii="Tahoma" w:hAnsi="Tahoma" w:cs="Tahoma"/>
              <w:b w:val="0"/>
              <w:szCs w:val="32"/>
              <w:lang w:val="de-DE"/>
            </w:rPr>
            <w:t>6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106AC8">
            <w:rPr>
              <w:rFonts w:ascii="Tahoma" w:hAnsi="Tahoma" w:cs="Tahoma"/>
              <w:b w:val="0"/>
              <w:szCs w:val="32"/>
              <w:lang w:val="de-DE"/>
            </w:rPr>
            <w:t>Kamu</w:t>
          </w:r>
          <w:r w:rsidR="00A666B5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</w:t>
          </w:r>
          <w:r w:rsidR="00106AC8">
            <w:rPr>
              <w:rFonts w:ascii="Tahoma" w:hAnsi="Tahoma" w:cs="Tahoma"/>
              <w:sz w:val="18"/>
              <w:szCs w:val="18"/>
            </w:rPr>
            <w:t>6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06AC8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67941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C18C8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35428"/>
    <w:rsid w:val="00547F2F"/>
    <w:rsid w:val="0055308C"/>
    <w:rsid w:val="00563234"/>
    <w:rsid w:val="005768E5"/>
    <w:rsid w:val="005772AC"/>
    <w:rsid w:val="0058628E"/>
    <w:rsid w:val="00586627"/>
    <w:rsid w:val="00587A57"/>
    <w:rsid w:val="005941A3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0732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1636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9F795C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666B5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020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12ABD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1867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725A89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7EEB-9EA3-466C-B2DD-F33F9272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116</cp:revision>
  <cp:lastPrinted>2017-06-01T19:55:00Z</cp:lastPrinted>
  <dcterms:created xsi:type="dcterms:W3CDTF">2014-10-16T14:28:00Z</dcterms:created>
  <dcterms:modified xsi:type="dcterms:W3CDTF">2018-07-05T10:23:00Z</dcterms:modified>
</cp:coreProperties>
</file>